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Default="004B011A" w:rsidP="006158C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-770890</wp:posOffset>
            </wp:positionV>
            <wp:extent cx="1436370" cy="1257300"/>
            <wp:effectExtent l="0" t="0" r="0" b="0"/>
            <wp:wrapSquare wrapText="bothSides"/>
            <wp:docPr id="12" name="Picture 12" descr="CJ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JR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C2">
        <w:t>PO Box 217</w:t>
      </w:r>
    </w:p>
    <w:p w:rsidR="006158C2" w:rsidRDefault="006158C2" w:rsidP="006158C2">
      <w:pPr>
        <w:tabs>
          <w:tab w:val="left" w:pos="1890"/>
        </w:tabs>
      </w:pPr>
      <w:r>
        <w:t>East Greenville, PA 18041</w:t>
      </w:r>
    </w:p>
    <w:p w:rsidR="006158C2" w:rsidRDefault="006158C2" w:rsidP="006158C2">
      <w:r>
        <w:t xml:space="preserve"> </w:t>
      </w:r>
    </w:p>
    <w:p w:rsidR="006158C2" w:rsidRDefault="006158C2" w:rsidP="006158C2">
      <w:pPr>
        <w:tabs>
          <w:tab w:val="left" w:pos="1890"/>
        </w:tabs>
      </w:pPr>
      <w:r>
        <w:t>Phone: (215)</w:t>
      </w:r>
      <w:r w:rsidR="003D5413">
        <w:t xml:space="preserve"> </w:t>
      </w:r>
      <w:r>
        <w:t>679-3970</w:t>
      </w:r>
    </w:p>
    <w:p w:rsidR="006158C2" w:rsidRDefault="006158C2" w:rsidP="006158C2">
      <w:pPr>
        <w:tabs>
          <w:tab w:val="left" w:pos="1890"/>
        </w:tabs>
      </w:pPr>
      <w:r>
        <w:tab/>
        <w:t>Fax: (215) 679-3761</w:t>
      </w:r>
    </w:p>
    <w:p w:rsidR="007B3236" w:rsidRPr="00C626CB" w:rsidRDefault="00163371" w:rsidP="00C626CB">
      <w:pPr>
        <w:tabs>
          <w:tab w:val="left" w:pos="1710"/>
        </w:tabs>
      </w:pPr>
      <w:r>
        <w:tab/>
        <w:t xml:space="preserve">   </w:t>
      </w:r>
      <w:r w:rsidR="006158C2">
        <w:t xml:space="preserve">Website: </w:t>
      </w:r>
      <w:hyperlink r:id="rId11" w:history="1">
        <w:r w:rsidR="006158C2" w:rsidRPr="00FB00D2">
          <w:rPr>
            <w:rStyle w:val="Hyperlink"/>
          </w:rPr>
          <w:t>http://www.cjrobinson.com</w:t>
        </w:r>
      </w:hyperlink>
      <w:r w:rsidR="006158C2">
        <w:t xml:space="preserve"> </w:t>
      </w: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626CB" w:rsidRDefault="00C626CB" w:rsidP="00C626CB">
      <w:pPr>
        <w:tabs>
          <w:tab w:val="left" w:pos="1710"/>
        </w:tabs>
        <w:jc w:val="center"/>
        <w:rPr>
          <w:b/>
          <w:bCs/>
          <w:sz w:val="32"/>
          <w:szCs w:val="32"/>
        </w:rPr>
      </w:pPr>
    </w:p>
    <w:p w:rsidR="007B3236" w:rsidRPr="00C626CB" w:rsidRDefault="00C626CB" w:rsidP="00C626CB">
      <w:pPr>
        <w:tabs>
          <w:tab w:val="left" w:pos="1710"/>
        </w:tabs>
        <w:jc w:val="center"/>
        <w:rPr>
          <w:b/>
          <w:bCs/>
          <w:sz w:val="32"/>
          <w:szCs w:val="32"/>
        </w:rPr>
      </w:pPr>
      <w:r w:rsidRPr="00C626CB">
        <w:rPr>
          <w:b/>
          <w:bCs/>
          <w:sz w:val="32"/>
          <w:szCs w:val="32"/>
        </w:rPr>
        <w:t>Endocrine Disrupter Certification</w:t>
      </w: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C626CB" w:rsidRPr="00C626CB" w:rsidRDefault="00C626CB" w:rsidP="00C626CB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>To Whom It May Concern,</w:t>
      </w:r>
    </w:p>
    <w:p w:rsidR="00C626CB" w:rsidRPr="00C626CB" w:rsidRDefault="00C626CB" w:rsidP="00C626CB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C626CB" w:rsidRPr="00C626CB" w:rsidRDefault="00C626CB" w:rsidP="00C626CB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>C.J. Robinson Co., Inc. Inc. certifies that none of its paraffin wax, oil or petrolatum products contain, nor come into contact with, the following chemical substances known to cause endocrine disruption:</w:t>
      </w:r>
    </w:p>
    <w:p w:rsidR="00C626CB" w:rsidRPr="00C626CB" w:rsidRDefault="00C626CB" w:rsidP="00C626CB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C626CB" w:rsidRPr="00C626CB" w:rsidRDefault="00C626CB" w:rsidP="00C626CB">
      <w:pPr>
        <w:numPr>
          <w:ilvl w:val="0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>Phthalates, including</w:t>
      </w:r>
    </w:p>
    <w:p w:rsidR="00C626CB" w:rsidRPr="00C626CB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DEHP  di-(2-ethylhexyl) phthalate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117-81-7)</w:t>
      </w:r>
    </w:p>
    <w:p w:rsidR="00C626CB" w:rsidRPr="00C626CB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DBP   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dibutyl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phthalate      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84-74-2)</w:t>
      </w:r>
    </w:p>
    <w:p w:rsidR="00C626CB" w:rsidRPr="00C626CB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BBP    Benzyl butyl phthalate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85-68-7)</w:t>
      </w:r>
    </w:p>
    <w:p w:rsidR="00C626CB" w:rsidRPr="00C626CB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DINP 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Diisonyl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phthalate   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68515-48-0 &amp; 28553-12-0)</w:t>
      </w:r>
    </w:p>
    <w:p w:rsidR="00C626CB" w:rsidRPr="00C626CB" w:rsidRDefault="00C626CB" w:rsidP="00C626CB">
      <w:pPr>
        <w:numPr>
          <w:ilvl w:val="1"/>
          <w:numId w:val="1"/>
        </w:numPr>
        <w:tabs>
          <w:tab w:val="left" w:pos="1710"/>
          <w:tab w:val="left" w:pos="504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DIDP 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Diisodecyl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phthalate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26761-40-0)</w:t>
      </w:r>
    </w:p>
    <w:p w:rsidR="00C626CB" w:rsidRPr="00E72273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DnOP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 Di-n-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octyl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phthalate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117-84-0)</w:t>
      </w:r>
    </w:p>
    <w:p w:rsidR="00C626CB" w:rsidRPr="00C626CB" w:rsidRDefault="00C626CB" w:rsidP="00C626CB">
      <w:pPr>
        <w:numPr>
          <w:ilvl w:val="0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Alkylphenols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>, including</w:t>
      </w:r>
    </w:p>
    <w:p w:rsidR="00C626CB" w:rsidRPr="00C626CB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Octyl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phenol                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       </w:t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140-66-9)</w:t>
      </w:r>
    </w:p>
    <w:p w:rsidR="00C626CB" w:rsidRPr="00C626CB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Nonyl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phenol                 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     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104-40-5)</w:t>
      </w:r>
    </w:p>
    <w:p w:rsidR="00C626CB" w:rsidRPr="00E72273" w:rsidRDefault="00C626CB" w:rsidP="00C626CB">
      <w:pPr>
        <w:numPr>
          <w:ilvl w:val="1"/>
          <w:numId w:val="1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Alkyl phenol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oxylates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e.g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C8 branched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68987-90-6)</w:t>
      </w:r>
    </w:p>
    <w:p w:rsidR="00C626CB" w:rsidRPr="00E72273" w:rsidRDefault="00C626CB" w:rsidP="00C626CB">
      <w:pPr>
        <w:numPr>
          <w:ilvl w:val="0"/>
          <w:numId w:val="2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Bisphenol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A (CAS# 80-05-7)</w:t>
      </w:r>
    </w:p>
    <w:p w:rsidR="00C626CB" w:rsidRPr="00E72273" w:rsidRDefault="00C626CB" w:rsidP="00C626CB">
      <w:pPr>
        <w:numPr>
          <w:ilvl w:val="0"/>
          <w:numId w:val="2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Perfluorocarbon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materials, including</w:t>
      </w:r>
    </w:p>
    <w:p w:rsidR="00C626CB" w:rsidRPr="00C626CB" w:rsidRDefault="00C626CB" w:rsidP="00C626CB">
      <w:pPr>
        <w:numPr>
          <w:ilvl w:val="1"/>
          <w:numId w:val="2"/>
        </w:numPr>
        <w:tabs>
          <w:tab w:val="left" w:pos="1710"/>
          <w:tab w:val="left" w:pos="504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PFOS 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Perfluorooctane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sulfonate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 </w:t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1763-23-1)</w:t>
      </w:r>
    </w:p>
    <w:p w:rsidR="00C626CB" w:rsidRPr="00C626CB" w:rsidRDefault="00C626CB" w:rsidP="00C626CB">
      <w:pPr>
        <w:numPr>
          <w:ilvl w:val="1"/>
          <w:numId w:val="2"/>
        </w:numPr>
        <w:tabs>
          <w:tab w:val="left" w:pos="1710"/>
          <w:tab w:val="left" w:pos="504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PFOA 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Perfluorooctanoic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acid     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335-67-1)</w:t>
      </w:r>
    </w:p>
    <w:p w:rsidR="00C626CB" w:rsidRPr="00E72273" w:rsidRDefault="00C626CB" w:rsidP="00C626CB">
      <w:pPr>
        <w:numPr>
          <w:ilvl w:val="1"/>
          <w:numId w:val="2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>Other PFC resins/materials</w:t>
      </w:r>
    </w:p>
    <w:p w:rsidR="00C626CB" w:rsidRPr="00E72273" w:rsidRDefault="00C626CB" w:rsidP="00C626CB">
      <w:pPr>
        <w:numPr>
          <w:ilvl w:val="0"/>
          <w:numId w:val="3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Tris-nonylphenol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phosphate          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  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  <w:t xml:space="preserve">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26523-78-4)</w:t>
      </w:r>
    </w:p>
    <w:p w:rsidR="00C626CB" w:rsidRPr="00E72273" w:rsidRDefault="00C626CB" w:rsidP="00C626CB">
      <w:pPr>
        <w:numPr>
          <w:ilvl w:val="0"/>
          <w:numId w:val="3"/>
        </w:numPr>
        <w:tabs>
          <w:tab w:val="left" w:pos="1710"/>
          <w:tab w:val="left" w:pos="504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Dioxin                                                  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     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  <w:t xml:space="preserve"> </w:t>
      </w:r>
      <w:r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290-67-5)</w:t>
      </w:r>
    </w:p>
    <w:p w:rsidR="00C626CB" w:rsidRPr="00E72273" w:rsidRDefault="00C626CB" w:rsidP="00C626CB">
      <w:pPr>
        <w:numPr>
          <w:ilvl w:val="0"/>
          <w:numId w:val="3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Styrene Dimers or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Trimers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or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benzo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>(a)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pyrene</w:t>
      </w:r>
      <w:proofErr w:type="spellEnd"/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="00E72273">
        <w:rPr>
          <w:rFonts w:ascii="Times" w:eastAsia="SimSun" w:hAnsi="Times" w:cs="Verdana"/>
          <w:sz w:val="24"/>
          <w:szCs w:val="24"/>
          <w:lang w:eastAsia="zh-CN"/>
        </w:rPr>
        <w:tab/>
      </w:r>
      <w:r w:rsidRPr="00C626CB">
        <w:rPr>
          <w:rFonts w:ascii="Times" w:eastAsia="SimSun" w:hAnsi="Times" w:cs="Verdana"/>
          <w:sz w:val="24"/>
          <w:szCs w:val="24"/>
          <w:lang w:eastAsia="zh-CN"/>
        </w:rPr>
        <w:t>(CAS# 50-32-8)</w:t>
      </w:r>
    </w:p>
    <w:p w:rsidR="00C626CB" w:rsidRPr="00C626CB" w:rsidRDefault="00C626CB" w:rsidP="00C626CB">
      <w:pPr>
        <w:numPr>
          <w:ilvl w:val="0"/>
          <w:numId w:val="3"/>
        </w:num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626CB">
        <w:rPr>
          <w:rFonts w:ascii="Times" w:eastAsia="SimSun" w:hAnsi="Times" w:cs="Verdana"/>
          <w:sz w:val="24"/>
          <w:szCs w:val="24"/>
          <w:lang w:eastAsia="zh-CN"/>
        </w:rPr>
        <w:t xml:space="preserve">Organic Pesticides or persistent </w:t>
      </w:r>
      <w:proofErr w:type="spellStart"/>
      <w:r w:rsidRPr="00C626CB">
        <w:rPr>
          <w:rFonts w:ascii="Times" w:eastAsia="SimSun" w:hAnsi="Times" w:cs="Verdana"/>
          <w:sz w:val="24"/>
          <w:szCs w:val="24"/>
          <w:lang w:eastAsia="zh-CN"/>
        </w:rPr>
        <w:t>organohalogens</w:t>
      </w:r>
      <w:proofErr w:type="spellEnd"/>
    </w:p>
    <w:p w:rsidR="007B3236" w:rsidRDefault="007B3236" w:rsidP="00163371">
      <w:pPr>
        <w:tabs>
          <w:tab w:val="left" w:pos="1710"/>
        </w:tabs>
      </w:pPr>
    </w:p>
    <w:p w:rsidR="00A91FFA" w:rsidRDefault="00A91FFA" w:rsidP="00A91FFA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Gary Barnes</w:t>
      </w:r>
    </w:p>
    <w:p w:rsidR="00A91FFA" w:rsidRPr="008D0DED" w:rsidRDefault="00A91FFA" w:rsidP="00A91FFA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C.J.</w:t>
      </w:r>
      <w:r>
        <w:rPr>
          <w:rFonts w:asciiTheme="majorHAnsi" w:hAnsiTheme="majorHAnsi"/>
          <w:i/>
          <w:color w:val="auto"/>
          <w:kern w:val="0"/>
          <w:sz w:val="24"/>
          <w:szCs w:val="24"/>
        </w:rPr>
        <w:t xml:space="preserve"> </w:t>
      </w: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Robinson Regulatory Issues</w:t>
      </w:r>
    </w:p>
    <w:p w:rsidR="00A91FFA" w:rsidRDefault="00A91FFA" w:rsidP="00163371">
      <w:pPr>
        <w:tabs>
          <w:tab w:val="left" w:pos="1710"/>
        </w:tabs>
      </w:pPr>
      <w:bookmarkStart w:id="0" w:name="_GoBack"/>
      <w:bookmarkEnd w:id="0"/>
    </w:p>
    <w:sectPr w:rsidR="00A91FFA" w:rsidSect="000F59A0">
      <w:headerReference w:type="default" r:id="rId12"/>
      <w:footerReference w:type="default" r:id="rId13"/>
      <w:pgSz w:w="12240" w:h="15840"/>
      <w:pgMar w:top="5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D" w:rsidRDefault="00F72B2D" w:rsidP="000F59A0">
      <w:r>
        <w:separator/>
      </w:r>
    </w:p>
  </w:endnote>
  <w:endnote w:type="continuationSeparator" w:id="0">
    <w:p w:rsidR="00F72B2D" w:rsidRDefault="00F72B2D" w:rsidP="000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0" w:rsidRP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D" w:rsidRDefault="00F72B2D" w:rsidP="000F59A0">
      <w:r>
        <w:separator/>
      </w:r>
    </w:p>
  </w:footnote>
  <w:footnote w:type="continuationSeparator" w:id="0">
    <w:p w:rsidR="00F72B2D" w:rsidRDefault="00F72B2D" w:rsidP="000F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0"/>
    </w:tblGrid>
    <w:tr w:rsidR="001B7950" w:rsidTr="001B7950">
      <w:trPr>
        <w:trHeight w:val="288"/>
      </w:trPr>
      <w:tc>
        <w:tcPr>
          <w:tcW w:w="7765" w:type="dxa"/>
        </w:tcPr>
        <w:p w:rsidR="001B7950" w:rsidRPr="001B7950" w:rsidRDefault="001B7950" w:rsidP="001B7950">
          <w:pPr>
            <w:pStyle w:val="Header"/>
            <w:tabs>
              <w:tab w:val="clear" w:pos="4680"/>
              <w:tab w:val="center" w:pos="180"/>
            </w:tabs>
            <w:jc w:val="right"/>
            <w:rPr>
              <w:rFonts w:ascii="Cambria" w:hAnsi="Cambria"/>
              <w:b/>
              <w:color w:val="0070C0"/>
              <w:sz w:val="36"/>
              <w:szCs w:val="36"/>
            </w:rPr>
          </w:pPr>
          <w:r w:rsidRPr="001B7950">
            <w:rPr>
              <w:rStyle w:val="IntenseEmphasis"/>
              <w:color w:val="0070C0"/>
              <w:sz w:val="40"/>
            </w:rPr>
            <w:t>C.J.ROBINSON COMPANY</w:t>
          </w:r>
        </w:p>
      </w:tc>
      <w:tc>
        <w:tcPr>
          <w:tcW w:w="1105" w:type="dxa"/>
        </w:tcPr>
        <w:p w:rsidR="001B7950" w:rsidRPr="001B7950" w:rsidRDefault="001B7950" w:rsidP="001B7950">
          <w:pPr>
            <w:pStyle w:val="Header"/>
            <w:rPr>
              <w:rFonts w:ascii="Cambria" w:hAnsi="Cambria"/>
              <w:b/>
              <w:bCs/>
              <w:color w:val="0070C0"/>
              <w:sz w:val="36"/>
              <w:szCs w:val="36"/>
            </w:rPr>
          </w:pPr>
          <w:r w:rsidRPr="001B7950">
            <w:rPr>
              <w:rFonts w:ascii="Cambria" w:hAnsi="Cambria"/>
              <w:b/>
              <w:bCs/>
              <w:color w:val="0070C0"/>
              <w:sz w:val="36"/>
              <w:szCs w:val="36"/>
            </w:rPr>
            <w:t>2012</w:t>
          </w:r>
        </w:p>
      </w:tc>
    </w:tr>
  </w:tbl>
  <w:p w:rsidR="001B7950" w:rsidRDefault="001B7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15E6"/>
    <w:multiLevelType w:val="hybridMultilevel"/>
    <w:tmpl w:val="B3C4EB1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">
    <w:nsid w:val="2CA56B70"/>
    <w:multiLevelType w:val="hybridMultilevel"/>
    <w:tmpl w:val="6C987646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76D470E3"/>
    <w:multiLevelType w:val="hybridMultilevel"/>
    <w:tmpl w:val="8E06F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F"/>
    <w:rsid w:val="000A3EA0"/>
    <w:rsid w:val="000F2426"/>
    <w:rsid w:val="000F59A0"/>
    <w:rsid w:val="001231FC"/>
    <w:rsid w:val="00163371"/>
    <w:rsid w:val="0018533C"/>
    <w:rsid w:val="001B7950"/>
    <w:rsid w:val="0029141C"/>
    <w:rsid w:val="0029328F"/>
    <w:rsid w:val="002C7A27"/>
    <w:rsid w:val="0036386A"/>
    <w:rsid w:val="003D5413"/>
    <w:rsid w:val="00420799"/>
    <w:rsid w:val="00497AB9"/>
    <w:rsid w:val="004B011A"/>
    <w:rsid w:val="004B7376"/>
    <w:rsid w:val="004D3D1A"/>
    <w:rsid w:val="00512CAF"/>
    <w:rsid w:val="005228EE"/>
    <w:rsid w:val="00554B25"/>
    <w:rsid w:val="00585657"/>
    <w:rsid w:val="006158C2"/>
    <w:rsid w:val="006828C7"/>
    <w:rsid w:val="00741622"/>
    <w:rsid w:val="00793F6B"/>
    <w:rsid w:val="007B3236"/>
    <w:rsid w:val="007F6F22"/>
    <w:rsid w:val="008056E2"/>
    <w:rsid w:val="008A444B"/>
    <w:rsid w:val="00951DE3"/>
    <w:rsid w:val="009613FF"/>
    <w:rsid w:val="009B4372"/>
    <w:rsid w:val="009C353D"/>
    <w:rsid w:val="009C3CD8"/>
    <w:rsid w:val="00A3233E"/>
    <w:rsid w:val="00A66824"/>
    <w:rsid w:val="00A77CA0"/>
    <w:rsid w:val="00A91FFA"/>
    <w:rsid w:val="00AE7B25"/>
    <w:rsid w:val="00B94BDE"/>
    <w:rsid w:val="00C1584F"/>
    <w:rsid w:val="00C2424C"/>
    <w:rsid w:val="00C5180B"/>
    <w:rsid w:val="00C56FD3"/>
    <w:rsid w:val="00C626CB"/>
    <w:rsid w:val="00C716E3"/>
    <w:rsid w:val="00CB4BBD"/>
    <w:rsid w:val="00CF1688"/>
    <w:rsid w:val="00CF1C68"/>
    <w:rsid w:val="00D9423D"/>
    <w:rsid w:val="00DB6311"/>
    <w:rsid w:val="00E72273"/>
    <w:rsid w:val="00EC6A57"/>
    <w:rsid w:val="00EE0BC2"/>
    <w:rsid w:val="00EF1A9E"/>
    <w:rsid w:val="00F72B2D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jrobinson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78958-5007-41BF-8D90-E832AA0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C.J.ROBINSON COMPANY</vt:lpstr>
    </vt:vector>
  </TitlesOfParts>
  <Company>CJRobinson</Company>
  <LinksUpToDate>false</LinksUpToDate>
  <CharactersWithSpaces>1520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http://www.cjrobinson.com/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C.J.ROBINSON COMPANY</dc:title>
  <dc:creator>Chris</dc:creator>
  <cp:lastModifiedBy>Elizabeth</cp:lastModifiedBy>
  <cp:revision>6</cp:revision>
  <cp:lastPrinted>2012-01-17T15:57:00Z</cp:lastPrinted>
  <dcterms:created xsi:type="dcterms:W3CDTF">2012-09-05T14:47:00Z</dcterms:created>
  <dcterms:modified xsi:type="dcterms:W3CDTF">2012-10-24T15:01:00Z</dcterms:modified>
</cp:coreProperties>
</file>